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3F21F8" w:rsidRPr="005D58AC" w:rsidRDefault="004D3F4E" w:rsidP="00BC7553">
      <w:pPr>
        <w:jc w:val="center"/>
        <w:rPr>
          <w:b/>
          <w:sz w:val="36"/>
          <w:szCs w:val="36"/>
        </w:rPr>
      </w:pPr>
      <w:bookmarkStart w:id="0" w:name="_GoBack"/>
      <w:r w:rsidRPr="005D58AC">
        <w:rPr>
          <w:b/>
          <w:sz w:val="36"/>
          <w:szCs w:val="36"/>
        </w:rPr>
        <w:t xml:space="preserve">Пекин – наследие Поднебесной с </w:t>
      </w:r>
      <w:proofErr w:type="spellStart"/>
      <w:proofErr w:type="gramStart"/>
      <w:r w:rsidRPr="005D58AC">
        <w:rPr>
          <w:b/>
          <w:sz w:val="36"/>
          <w:szCs w:val="36"/>
        </w:rPr>
        <w:t>авиаперелетом</w:t>
      </w:r>
      <w:proofErr w:type="spellEnd"/>
      <w:proofErr w:type="gramEnd"/>
      <w:r w:rsidRPr="005D58AC">
        <w:rPr>
          <w:b/>
          <w:sz w:val="36"/>
          <w:szCs w:val="36"/>
        </w:rPr>
        <w:t xml:space="preserve"> а/к Аэрофлот из Москвы</w:t>
      </w:r>
    </w:p>
    <w:p w:rsidR="004D3F4E" w:rsidRDefault="004D3F4E" w:rsidP="00BC7553">
      <w:pPr>
        <w:jc w:val="center"/>
        <w:rPr>
          <w:b/>
          <w:sz w:val="22"/>
          <w:szCs w:val="22"/>
        </w:rPr>
      </w:pPr>
    </w:p>
    <w:bookmarkEnd w:id="0"/>
    <w:p w:rsidR="00561370" w:rsidRPr="005D58AC" w:rsidRDefault="005D58AC" w:rsidP="003F21F8">
      <w:pPr>
        <w:jc w:val="both"/>
        <w:rPr>
          <w:color w:val="202020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Приглашаем Вас посетить столицу Китая - многоликий и загадочный Пекин, чье великолепие привлекает любителей архитектуры и истории. Вашему вниманию всё великолепие главного города Поднебесной: его дворцы и парки, храмы и музеи, исторические достопримечательности. Во время путешествия Вы сможете увидеть овеянный легендами Запретный город, прогуляться по самой большой в мире площади Тяньаньмэнь, полюбоваться изящным Летним императорским дворцом и величественным Храмом Неба, осмотреть оригинальные объекты Олимпийского парка, а также посетить легенду Азии – Великую китайскую стену. Пекин ждет Вас!</w:t>
      </w:r>
    </w:p>
    <w:p w:rsidR="003F21F8" w:rsidRPr="003F21F8" w:rsidRDefault="003F21F8" w:rsidP="007D66AC">
      <w:pPr>
        <w:rPr>
          <w:sz w:val="22"/>
          <w:szCs w:val="22"/>
        </w:rPr>
      </w:pPr>
    </w:p>
    <w:p w:rsidR="00065864" w:rsidRPr="005D58AC" w:rsidRDefault="00065864" w:rsidP="00065864">
      <w:pPr>
        <w:rPr>
          <w:sz w:val="22"/>
          <w:szCs w:val="22"/>
        </w:rPr>
      </w:pPr>
      <w:r w:rsidRPr="005D58AC">
        <w:rPr>
          <w:b/>
          <w:sz w:val="22"/>
          <w:szCs w:val="22"/>
        </w:rPr>
        <w:t xml:space="preserve">Дата: </w:t>
      </w:r>
      <w:r w:rsidR="005D58AC" w:rsidRPr="005D58AC">
        <w:rPr>
          <w:caps/>
          <w:color w:val="231F20"/>
          <w:spacing w:val="12"/>
          <w:sz w:val="22"/>
          <w:szCs w:val="22"/>
          <w:shd w:val="clear" w:color="auto" w:fill="FFFFFF"/>
        </w:rPr>
        <w:t>03.11, 10.11, 17.11, 24.11, 01.12, 08.12, 15.12, 22.12, 27.12, 29.12, 30.12, 01.01, 03.01, 05.01, 12.01, 19.01, 26.01, 02.02, 09.02, 16.02, 23.02, 02.03, 09.03, 16.03, 23.03, 30.03, 06.04, 13.04, 20.04, 27.04</w:t>
      </w:r>
    </w:p>
    <w:p w:rsidR="00065864" w:rsidRDefault="00065864" w:rsidP="007D66AC">
      <w:pPr>
        <w:rPr>
          <w:sz w:val="22"/>
          <w:szCs w:val="22"/>
        </w:rPr>
      </w:pPr>
    </w:p>
    <w:p w:rsidR="001573E0" w:rsidRPr="005D58AC" w:rsidRDefault="003B5F35" w:rsidP="005D58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Программа:</w:t>
      </w:r>
    </w:p>
    <w:p w:rsidR="00351F21" w:rsidRPr="005D58AC" w:rsidRDefault="00351F21" w:rsidP="005D58AC">
      <w:pPr>
        <w:ind w:right="-2"/>
        <w:jc w:val="both"/>
        <w:rPr>
          <w:color w:val="10151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101519"/>
          <w:sz w:val="22"/>
          <w:szCs w:val="22"/>
          <w:shd w:val="clear" w:color="auto" w:fill="FFFFFF"/>
        </w:rPr>
      </w:pPr>
      <w:r w:rsidRPr="005D58AC">
        <w:rPr>
          <w:b/>
          <w:color w:val="101519"/>
          <w:sz w:val="22"/>
          <w:szCs w:val="22"/>
          <w:shd w:val="clear" w:color="auto" w:fill="FFFFFF"/>
        </w:rPr>
        <w:t xml:space="preserve">1 день. 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В 21:15 вылет в Пекин регулярным рейсом а/к Аэрофлот SU204 из аэропорта Шереметьево-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C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>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t xml:space="preserve">Прилет в Пекин в 09:50. Встреча в аэропорту,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и размещение в отеле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5*.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t xml:space="preserve">Экскурсионная программа с обедом в ресторане «Утка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по-пекински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>»: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 Ламаистский Храм </w:t>
      </w:r>
      <w:proofErr w:type="spellStart"/>
      <w:r w:rsidRPr="005D58AC">
        <w:rPr>
          <w:rStyle w:val="a9"/>
          <w:color w:val="212529"/>
          <w:sz w:val="22"/>
          <w:szCs w:val="22"/>
          <w:shd w:val="clear" w:color="auto" w:fill="FFFFFF"/>
        </w:rPr>
        <w:t>Юнхэгун</w:t>
      </w:r>
      <w:proofErr w:type="spellEnd"/>
      <w:r w:rsidRPr="005D58AC">
        <w:rPr>
          <w:rStyle w:val="a9"/>
          <w:color w:val="212529"/>
          <w:sz w:val="22"/>
          <w:szCs w:val="22"/>
          <w:shd w:val="clear" w:color="auto" w:fill="FFFFFF"/>
        </w:rPr>
        <w:t> </w:t>
      </w:r>
      <w:r w:rsidRPr="005D58AC">
        <w:rPr>
          <w:color w:val="212529"/>
          <w:sz w:val="22"/>
          <w:szCs w:val="22"/>
          <w:shd w:val="clear" w:color="auto" w:fill="FFFFFF"/>
        </w:rPr>
        <w:t xml:space="preserve">(является монастырём и храмом школы тибетского буддизма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Гэлуг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>).  Пешая прогулка по знаменитой торговой улице </w:t>
      </w:r>
      <w:proofErr w:type="spellStart"/>
      <w:r w:rsidRPr="005D58AC">
        <w:rPr>
          <w:rStyle w:val="a9"/>
          <w:color w:val="212529"/>
          <w:sz w:val="22"/>
          <w:szCs w:val="22"/>
          <w:shd w:val="clear" w:color="auto" w:fill="FFFFFF"/>
        </w:rPr>
        <w:t>Дашилань</w:t>
      </w:r>
      <w:proofErr w:type="spellEnd"/>
      <w:r w:rsidRPr="005D58AC">
        <w:rPr>
          <w:rStyle w:val="a9"/>
          <w:color w:val="212529"/>
          <w:sz w:val="22"/>
          <w:szCs w:val="22"/>
          <w:shd w:val="clear" w:color="auto" w:fill="FFFFFF"/>
        </w:rPr>
        <w:t>. </w:t>
      </w:r>
      <w:r w:rsidRPr="005D58AC">
        <w:rPr>
          <w:color w:val="212529"/>
          <w:sz w:val="22"/>
          <w:szCs w:val="22"/>
          <w:shd w:val="clear" w:color="auto" w:fill="FFFFFF"/>
        </w:rPr>
        <w:t> Возвращение в отель.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5D58AC">
        <w:rPr>
          <w:b/>
          <w:color w:val="212529"/>
          <w:sz w:val="22"/>
          <w:szCs w:val="22"/>
          <w:shd w:val="clear" w:color="auto" w:fill="FFFFFF"/>
        </w:rPr>
        <w:t>2 день.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Завтрак в отеле.</w:t>
      </w:r>
      <w:r>
        <w:rPr>
          <w:color w:val="212529"/>
          <w:sz w:val="22"/>
          <w:szCs w:val="22"/>
        </w:rPr>
        <w:t xml:space="preserve"> </w:t>
      </w:r>
      <w:r w:rsidRPr="005D58AC">
        <w:rPr>
          <w:color w:val="212529"/>
          <w:sz w:val="22"/>
          <w:szCs w:val="22"/>
          <w:shd w:val="clear" w:color="auto" w:fill="FFFFFF"/>
        </w:rPr>
        <w:t>Экскурсионная программа: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Великая Китайская Стена </w:t>
      </w:r>
      <w:r w:rsidRPr="005D58AC">
        <w:rPr>
          <w:color w:val="212529"/>
          <w:sz w:val="22"/>
          <w:szCs w:val="22"/>
          <w:shd w:val="clear" w:color="auto" w:fill="FFFFFF"/>
        </w:rPr>
        <w:t xml:space="preserve">(участок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Бадалин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- 60 км от Пекина). Символ Китая, единственное сооружение человека, которое можно увидеть из космоса невооруженным глазом. Обед в загородном ресторане китайской кухни.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Летний Императорский дворец</w:t>
      </w:r>
      <w:r w:rsidRPr="005D58AC">
        <w:rPr>
          <w:color w:val="212529"/>
          <w:sz w:val="22"/>
          <w:szCs w:val="22"/>
          <w:shd w:val="clear" w:color="auto" w:fill="FFFFFF"/>
        </w:rPr>
        <w:t xml:space="preserve"> (парк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Ихэюань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>, летняя резиденция императоров, занесён ЮНЕСКО в список всемирного наследия человечества).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Внешний осмотр Олимпийских объектов: стадионы «Гнездо» и «Водный куб»</w:t>
      </w:r>
      <w:r w:rsidRPr="005D58AC">
        <w:rPr>
          <w:color w:val="212529"/>
          <w:sz w:val="22"/>
          <w:szCs w:val="22"/>
          <w:shd w:val="clear" w:color="auto" w:fill="FFFFFF"/>
        </w:rPr>
        <w:t>. Возвращение в отель. Вечером, по желанию, посещение Пекинской оперы или Пекинского цирка (от 30$/чел). Свободное время.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5D58AC">
        <w:rPr>
          <w:b/>
          <w:color w:val="212529"/>
          <w:sz w:val="22"/>
          <w:szCs w:val="22"/>
          <w:shd w:val="clear" w:color="auto" w:fill="FFFFFF"/>
        </w:rPr>
        <w:t>3 день.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Завтрак в отеле.</w:t>
      </w:r>
      <w:r>
        <w:rPr>
          <w:color w:val="212529"/>
          <w:sz w:val="22"/>
          <w:szCs w:val="22"/>
        </w:rPr>
        <w:t xml:space="preserve"> 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Экскурсионная программа с обедом в национальном ресторане: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площадь Небесного спокойствия Тяньаньмэнь </w:t>
      </w:r>
      <w:r w:rsidRPr="005D58AC">
        <w:rPr>
          <w:color w:val="212529"/>
          <w:sz w:val="22"/>
          <w:szCs w:val="22"/>
          <w:shd w:val="clear" w:color="auto" w:fill="FFFFFF"/>
        </w:rPr>
        <w:t>(самая большая площадь в мире, в ее северной части расположен Мавзолей Мао Цзэдуна),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 Зимний Императорский Дворец </w:t>
      </w:r>
      <w:proofErr w:type="spellStart"/>
      <w:r w:rsidRPr="005D58AC">
        <w:rPr>
          <w:rStyle w:val="a9"/>
          <w:color w:val="212529"/>
          <w:sz w:val="22"/>
          <w:szCs w:val="22"/>
          <w:shd w:val="clear" w:color="auto" w:fill="FFFFFF"/>
        </w:rPr>
        <w:t>Гугун</w:t>
      </w:r>
      <w:proofErr w:type="spellEnd"/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 («Запретный город»</w:t>
      </w:r>
      <w:r w:rsidRPr="005D58AC">
        <w:rPr>
          <w:color w:val="212529"/>
          <w:sz w:val="22"/>
          <w:szCs w:val="22"/>
          <w:shd w:val="clear" w:color="auto" w:fill="FFFFFF"/>
        </w:rPr>
        <w:t>,</w:t>
      </w:r>
      <w:r w:rsidR="000A49F7">
        <w:rPr>
          <w:color w:val="212529"/>
          <w:sz w:val="22"/>
          <w:szCs w:val="22"/>
          <w:shd w:val="clear" w:color="auto" w:fill="FFFFFF"/>
        </w:rPr>
        <w:t xml:space="preserve"> </w:t>
      </w:r>
      <w:r w:rsidRPr="005D58AC">
        <w:rPr>
          <w:color w:val="212529"/>
          <w:sz w:val="22"/>
          <w:szCs w:val="22"/>
          <w:shd w:val="clear" w:color="auto" w:fill="FFFFFF"/>
        </w:rPr>
        <w:t>главный дворцовый комплекс китайских императоров),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 Храм Неба </w:t>
      </w:r>
      <w:proofErr w:type="spellStart"/>
      <w:r w:rsidRPr="005D58AC">
        <w:rPr>
          <w:rStyle w:val="a9"/>
          <w:color w:val="212529"/>
          <w:sz w:val="22"/>
          <w:szCs w:val="22"/>
          <w:shd w:val="clear" w:color="auto" w:fill="FFFFFF"/>
        </w:rPr>
        <w:t>Тяньтань</w:t>
      </w:r>
      <w:proofErr w:type="spellEnd"/>
      <w:r w:rsidRPr="005D58AC">
        <w:rPr>
          <w:rStyle w:val="a9"/>
          <w:color w:val="212529"/>
          <w:sz w:val="22"/>
          <w:szCs w:val="22"/>
          <w:shd w:val="clear" w:color="auto" w:fill="FFFFFF"/>
        </w:rPr>
        <w:t> </w:t>
      </w:r>
      <w:r w:rsidRPr="005D58AC">
        <w:rPr>
          <w:color w:val="212529"/>
          <w:sz w:val="22"/>
          <w:szCs w:val="22"/>
          <w:shd w:val="clear" w:color="auto" w:fill="FFFFFF"/>
        </w:rPr>
        <w:t>(занесен ЮНЕСКО в список всемирного наследия человечества.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 xml:space="preserve"> 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Один из символов города и единственный храм круглой формы)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.</w:t>
      </w:r>
      <w:proofErr w:type="gramEnd"/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 Посещение рынка (модная одежда, сувениры, кожгалантерея, жемчуг, серебро, шелк).</w:t>
      </w:r>
      <w:r>
        <w:rPr>
          <w:color w:val="212529"/>
          <w:sz w:val="22"/>
          <w:szCs w:val="22"/>
        </w:rPr>
        <w:t xml:space="preserve"> </w:t>
      </w:r>
      <w:r w:rsidRPr="005D58AC">
        <w:rPr>
          <w:color w:val="212529"/>
          <w:sz w:val="22"/>
          <w:szCs w:val="22"/>
          <w:shd w:val="clear" w:color="auto" w:fill="FFFFFF"/>
        </w:rPr>
        <w:t>Самостоятельное возвращение в отель. Свободное время.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5D58AC">
        <w:rPr>
          <w:b/>
          <w:color w:val="212529"/>
          <w:sz w:val="22"/>
          <w:szCs w:val="22"/>
          <w:shd w:val="clear" w:color="auto" w:fill="FFFFFF"/>
        </w:rPr>
        <w:t>4 день.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Завтрак в отеле.</w:t>
      </w:r>
      <w:r>
        <w:rPr>
          <w:color w:val="212529"/>
          <w:sz w:val="22"/>
          <w:szCs w:val="22"/>
        </w:rPr>
        <w:t xml:space="preserve"> </w:t>
      </w:r>
      <w:r w:rsidRPr="005D58AC">
        <w:rPr>
          <w:color w:val="212529"/>
          <w:sz w:val="22"/>
          <w:szCs w:val="22"/>
          <w:shd w:val="clear" w:color="auto" w:fill="FFFFFF"/>
        </w:rPr>
        <w:t>Экскурсионная программа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 xml:space="preserve">: </w:t>
      </w:r>
      <w:proofErr w:type="gramStart"/>
      <w:r w:rsidRPr="005D58AC">
        <w:rPr>
          <w:rStyle w:val="a9"/>
          <w:color w:val="212529"/>
          <w:sz w:val="22"/>
          <w:szCs w:val="22"/>
          <w:shd w:val="clear" w:color="auto" w:fill="FFFFFF"/>
        </w:rPr>
        <w:t>Пекинский зоопарк и Дом Большой Панды </w:t>
      </w:r>
      <w:r w:rsidRPr="005D58AC">
        <w:rPr>
          <w:color w:val="212529"/>
          <w:sz w:val="22"/>
          <w:szCs w:val="22"/>
          <w:shd w:val="clear" w:color="auto" w:fill="FFFFFF"/>
        </w:rPr>
        <w:t>(был построен в 1908г., его первое название -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Сад десяти тысяч животных</w:t>
      </w:r>
      <w:r w:rsidRPr="005D58AC">
        <w:rPr>
          <w:color w:val="212529"/>
          <w:sz w:val="22"/>
          <w:szCs w:val="22"/>
          <w:shd w:val="clear" w:color="auto" w:fill="FFFFFF"/>
        </w:rPr>
        <w:t>.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 xml:space="preserve"> Зоопарк знаменит коллекцией редких животных, а так же животных-эндемиков. 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 xml:space="preserve">Среди экспонатов есть южно-китайский тигр, красноногий ибис,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белогубый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олень,  китайский аллигатор, тибетский як,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кианг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и многие другие).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 xml:space="preserve"> Обед в ресторане китайской </w:t>
      </w:r>
      <w:r w:rsidRPr="005D58AC">
        <w:rPr>
          <w:color w:val="212529"/>
          <w:sz w:val="22"/>
          <w:szCs w:val="22"/>
          <w:shd w:val="clear" w:color="auto" w:fill="FFFFFF"/>
        </w:rPr>
        <w:lastRenderedPageBreak/>
        <w:t>кухни. </w:t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Чайная церемония</w:t>
      </w:r>
      <w:r w:rsidRPr="005D58AC">
        <w:rPr>
          <w:color w:val="212529"/>
          <w:sz w:val="22"/>
          <w:szCs w:val="22"/>
          <w:shd w:val="clear" w:color="auto" w:fill="FFFFFF"/>
        </w:rPr>
        <w:t xml:space="preserve"> с дегустацией элитных сортов чая –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улун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, Те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Гуань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Инь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и других. Возвращение в отель.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5D58AC">
        <w:rPr>
          <w:b/>
          <w:color w:val="212529"/>
          <w:sz w:val="22"/>
          <w:szCs w:val="22"/>
          <w:shd w:val="clear" w:color="auto" w:fill="FFFFFF"/>
        </w:rPr>
        <w:t>5 день.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Завтрак в отеле. </w:t>
      </w:r>
      <w:r>
        <w:rPr>
          <w:color w:val="212529"/>
          <w:sz w:val="22"/>
          <w:szCs w:val="22"/>
        </w:rPr>
        <w:t xml:space="preserve"> </w:t>
      </w:r>
      <w:r w:rsidRPr="005D58AC">
        <w:rPr>
          <w:color w:val="212529"/>
          <w:sz w:val="22"/>
          <w:szCs w:val="22"/>
          <w:shd w:val="clear" w:color="auto" w:fill="FFFFFF"/>
        </w:rPr>
        <w:t>Свободное время для прогулок по Пекину. Большой выбор дополнительных экскурсий.</w:t>
      </w:r>
    </w:p>
    <w:p w:rsidR="005D58AC" w:rsidRP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5D58AC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5D58AC">
        <w:rPr>
          <w:b/>
          <w:color w:val="212529"/>
          <w:sz w:val="22"/>
          <w:szCs w:val="22"/>
          <w:shd w:val="clear" w:color="auto" w:fill="FFFFFF"/>
        </w:rPr>
        <w:t xml:space="preserve">6 день. </w:t>
      </w:r>
    </w:p>
    <w:p w:rsidR="005D58AC" w:rsidRDefault="005D58AC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Завтрак в отеле. </w:t>
      </w:r>
      <w:r>
        <w:rPr>
          <w:color w:val="212529"/>
          <w:sz w:val="22"/>
          <w:szCs w:val="22"/>
        </w:rPr>
        <w:t xml:space="preserve"> </w:t>
      </w:r>
      <w:proofErr w:type="spellStart"/>
      <w:r w:rsidRPr="005D58AC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5D58AC">
        <w:rPr>
          <w:color w:val="212529"/>
          <w:sz w:val="22"/>
          <w:szCs w:val="22"/>
          <w:shd w:val="clear" w:color="auto" w:fill="FFFFFF"/>
        </w:rPr>
        <w:t xml:space="preserve"> в аэропорт. 11:50 Вылет в Москву регулярным 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рейсом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 xml:space="preserve"> а/к Аэрофлот SU205. Прилет в аэропорт Шереметьево-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C</w:t>
      </w:r>
      <w:proofErr w:type="gramEnd"/>
      <w:r w:rsidRPr="005D58AC">
        <w:rPr>
          <w:color w:val="212529"/>
          <w:sz w:val="22"/>
          <w:szCs w:val="22"/>
          <w:shd w:val="clear" w:color="auto" w:fill="FFFFFF"/>
        </w:rPr>
        <w:t xml:space="preserve"> в 15:20.</w:t>
      </w:r>
    </w:p>
    <w:p w:rsidR="00446F62" w:rsidRDefault="00446F62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Default="00446F62" w:rsidP="007D66AC">
      <w:pPr>
        <w:ind w:right="-2"/>
        <w:jc w:val="both"/>
        <w:rPr>
          <w:sz w:val="22"/>
          <w:szCs w:val="22"/>
        </w:rPr>
      </w:pPr>
      <w:r>
        <w:rPr>
          <w:rStyle w:val="s7"/>
          <w:b/>
          <w:iCs/>
          <w:color w:val="000000"/>
        </w:rPr>
        <w:t>Стоимость тура на 1</w:t>
      </w:r>
      <w:r w:rsidR="00753D04">
        <w:rPr>
          <w:rStyle w:val="s7"/>
          <w:b/>
          <w:iCs/>
          <w:color w:val="000000"/>
        </w:rPr>
        <w:t xml:space="preserve"> </w:t>
      </w:r>
      <w:r>
        <w:rPr>
          <w:rStyle w:val="s7"/>
          <w:b/>
          <w:iCs/>
          <w:color w:val="000000"/>
        </w:rPr>
        <w:t xml:space="preserve">человека в </w:t>
      </w:r>
      <w:r w:rsidR="00753D04">
        <w:rPr>
          <w:rStyle w:val="s7"/>
          <w:b/>
          <w:iCs/>
          <w:color w:val="000000"/>
        </w:rPr>
        <w:t>долларах</w:t>
      </w:r>
      <w:r>
        <w:rPr>
          <w:rStyle w:val="s7"/>
          <w:b/>
          <w:iCs/>
          <w:color w:val="000000"/>
        </w:rPr>
        <w:t>:</w:t>
      </w:r>
    </w:p>
    <w:tbl>
      <w:tblPr>
        <w:tblW w:w="90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2257"/>
        <w:gridCol w:w="2257"/>
        <w:gridCol w:w="2258"/>
      </w:tblGrid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Дата вылета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446F62" w:rsidRDefault="00446F62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446F62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2-местный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446F62" w:rsidRDefault="00446F62" w:rsidP="00446F62">
            <w:pPr>
              <w:pStyle w:val="Standard"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446F62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1-местный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446F62" w:rsidRDefault="00446F62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446F62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доп. место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03.11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1495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1795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1495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10.11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17.11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24.11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01.12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08.12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15.12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22.12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27.12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1895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29.12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1895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30.12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1895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01.01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1895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03.01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1895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05.01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12.01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19.01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26.01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lastRenderedPageBreak/>
              <w:t>02.02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09.02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16.02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23.02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1595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1295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02.03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09.03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16.03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23.03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30.03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06.04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13.04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20.04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  <w:tr w:rsidR="00446F62" w:rsidRPr="009C7298" w:rsidTr="00446F62">
        <w:trPr>
          <w:trHeight w:val="284"/>
        </w:trPr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27.04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  <w:tc>
          <w:tcPr>
            <w:tcW w:w="225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1695</w:t>
            </w:r>
          </w:p>
        </w:tc>
        <w:tc>
          <w:tcPr>
            <w:tcW w:w="225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9C7298" w:rsidRPr="009613DE" w:rsidRDefault="009C7298" w:rsidP="00446F62">
            <w:pPr>
              <w:pStyle w:val="Standard"/>
              <w:autoSpaceDN/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</w:pPr>
            <w:r w:rsidRPr="009613DE">
              <w:rPr>
                <w:rFonts w:eastAsia="Times New Roman" w:cs="Times New Roman"/>
                <w:kern w:val="2"/>
                <w:sz w:val="18"/>
                <w:szCs w:val="18"/>
                <w:lang w:val="ru-RU" w:eastAsia="zh-CN"/>
              </w:rPr>
              <w:t>1395</w:t>
            </w:r>
          </w:p>
        </w:tc>
      </w:tr>
    </w:tbl>
    <w:p w:rsidR="009C7298" w:rsidRDefault="009C7298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авиабилеты Москва–Пекин–Москва, эконом класс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проживание в стандартных номерах в отеле указанной категории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транспортное обслуживание по программе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экскурсионное обслуживание, включая входные билеты</w:t>
      </w:r>
      <w:r>
        <w:rPr>
          <w:color w:val="212529"/>
          <w:sz w:val="22"/>
          <w:szCs w:val="22"/>
        </w:rPr>
        <w:t xml:space="preserve"> и услуги русскоговорящего гида</w:t>
      </w:r>
      <w:r w:rsidR="00D2612A">
        <w:rPr>
          <w:color w:val="212529"/>
          <w:sz w:val="22"/>
          <w:szCs w:val="22"/>
        </w:rPr>
        <w:t xml:space="preserve"> </w:t>
      </w:r>
      <w:r w:rsidRPr="005D58AC">
        <w:rPr>
          <w:color w:val="212529"/>
          <w:sz w:val="22"/>
          <w:szCs w:val="22"/>
        </w:rPr>
        <w:t>по программе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питание по программе</w:t>
      </w:r>
    </w:p>
    <w:p w:rsidR="005D58AC" w:rsidRPr="005D58AC" w:rsidRDefault="005D58AC" w:rsidP="005D58AC">
      <w:pPr>
        <w:shd w:val="clear" w:color="auto" w:fill="FFFFFF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5D58AC">
        <w:rPr>
          <w:color w:val="212529"/>
          <w:sz w:val="22"/>
          <w:szCs w:val="22"/>
        </w:rPr>
        <w:t>медицинская страховка (покрытие до 30000$)</w:t>
      </w:r>
    </w:p>
    <w:p w:rsidR="002D4F8C" w:rsidRPr="005D58A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5D58AC" w:rsidRDefault="002D4F8C" w:rsidP="007D66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За дополнительную плату: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все личные и прочие расходы, не указанные в программе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посещение Пекинской оперы или Пекинского цирка - от 30 $/ чел.</w:t>
      </w:r>
    </w:p>
    <w:p w:rsidR="002D4F8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индивидуальная виза - 120 $/ чел.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5D58AC">
        <w:rPr>
          <w:color w:val="212529"/>
          <w:sz w:val="22"/>
          <w:szCs w:val="22"/>
        </w:rPr>
        <w:br/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lastRenderedPageBreak/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723BF5" w:rsidRDefault="00723BF5" w:rsidP="007D66AC">
      <w:pPr>
        <w:ind w:right="-2"/>
        <w:jc w:val="both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</w:p>
    <w:sectPr w:rsidR="00723BF5" w:rsidRPr="00723BF5" w:rsidSect="00446F62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2B" w:rsidRDefault="00A57A2B">
      <w:r>
        <w:separator/>
      </w:r>
    </w:p>
  </w:endnote>
  <w:endnote w:type="continuationSeparator" w:id="0">
    <w:p w:rsidR="00A57A2B" w:rsidRDefault="00A5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Pr="00AA5455" w:rsidRDefault="00E6001F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191040РоссияСанкт-Петербург ул. Пушкинская д. 8 (метро Маяковская/пл. Восстания)</w:t>
    </w:r>
  </w:p>
  <w:p w:rsidR="00E6001F" w:rsidRPr="00001E9A" w:rsidRDefault="00E6001F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РТО 003761 тел. +7-812</w:t>
    </w:r>
    <w:r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2B" w:rsidRDefault="00A57A2B">
      <w:r>
        <w:separator/>
      </w:r>
    </w:p>
  </w:footnote>
  <w:footnote w:type="continuationSeparator" w:id="0">
    <w:p w:rsidR="00A57A2B" w:rsidRDefault="00A5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Default="00E6001F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E6001F" w:rsidRPr="00001E9A" w:rsidRDefault="00E6001F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23D"/>
    <w:multiLevelType w:val="multilevel"/>
    <w:tmpl w:val="DD0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7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8">
    <w:nsid w:val="27B50DCB"/>
    <w:multiLevelType w:val="multilevel"/>
    <w:tmpl w:val="A30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5054D"/>
    <w:multiLevelType w:val="multilevel"/>
    <w:tmpl w:val="1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40679"/>
    <w:multiLevelType w:val="multilevel"/>
    <w:tmpl w:val="F3B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13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4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18">
    <w:nsid w:val="75CA0E9A"/>
    <w:multiLevelType w:val="hybridMultilevel"/>
    <w:tmpl w:val="ACACF71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20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9"/>
  </w:num>
  <w:num w:numId="5">
    <w:abstractNumId w:val="7"/>
  </w:num>
  <w:num w:numId="6">
    <w:abstractNumId w:val="17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3"/>
  </w:num>
  <w:num w:numId="16">
    <w:abstractNumId w:val="5"/>
  </w:num>
  <w:num w:numId="17">
    <w:abstractNumId w:val="0"/>
  </w:num>
  <w:num w:numId="18">
    <w:abstractNumId w:val="11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864"/>
    <w:rsid w:val="00070497"/>
    <w:rsid w:val="00081868"/>
    <w:rsid w:val="0008636A"/>
    <w:rsid w:val="000926F2"/>
    <w:rsid w:val="000940F3"/>
    <w:rsid w:val="000A49F7"/>
    <w:rsid w:val="000B5C30"/>
    <w:rsid w:val="000C0160"/>
    <w:rsid w:val="000C262F"/>
    <w:rsid w:val="000C40FA"/>
    <w:rsid w:val="000D3445"/>
    <w:rsid w:val="000E0218"/>
    <w:rsid w:val="000F10C3"/>
    <w:rsid w:val="00102642"/>
    <w:rsid w:val="00106ABC"/>
    <w:rsid w:val="001236B7"/>
    <w:rsid w:val="00127333"/>
    <w:rsid w:val="001370A6"/>
    <w:rsid w:val="00145E71"/>
    <w:rsid w:val="001573E0"/>
    <w:rsid w:val="00161D6A"/>
    <w:rsid w:val="00171277"/>
    <w:rsid w:val="001753F3"/>
    <w:rsid w:val="00175F30"/>
    <w:rsid w:val="00196C1D"/>
    <w:rsid w:val="001A4BE5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743E"/>
    <w:rsid w:val="0025247E"/>
    <w:rsid w:val="00266F17"/>
    <w:rsid w:val="002730C7"/>
    <w:rsid w:val="002769BD"/>
    <w:rsid w:val="00286642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703F"/>
    <w:rsid w:val="00377FB4"/>
    <w:rsid w:val="003801C0"/>
    <w:rsid w:val="00384998"/>
    <w:rsid w:val="00394EB6"/>
    <w:rsid w:val="003960CF"/>
    <w:rsid w:val="003A11E6"/>
    <w:rsid w:val="003A1D44"/>
    <w:rsid w:val="003B5F35"/>
    <w:rsid w:val="003C0D3A"/>
    <w:rsid w:val="003C2299"/>
    <w:rsid w:val="003C3B52"/>
    <w:rsid w:val="003C5A6E"/>
    <w:rsid w:val="003E3E08"/>
    <w:rsid w:val="003F05EF"/>
    <w:rsid w:val="003F09E1"/>
    <w:rsid w:val="003F1F2A"/>
    <w:rsid w:val="003F21F8"/>
    <w:rsid w:val="0040437E"/>
    <w:rsid w:val="004175DF"/>
    <w:rsid w:val="0042474F"/>
    <w:rsid w:val="00425B69"/>
    <w:rsid w:val="004319D2"/>
    <w:rsid w:val="004405B9"/>
    <w:rsid w:val="00446103"/>
    <w:rsid w:val="00446F62"/>
    <w:rsid w:val="0045178F"/>
    <w:rsid w:val="00463904"/>
    <w:rsid w:val="004708A0"/>
    <w:rsid w:val="004A27D9"/>
    <w:rsid w:val="004A4AB9"/>
    <w:rsid w:val="004C4140"/>
    <w:rsid w:val="004C612A"/>
    <w:rsid w:val="004D3F4E"/>
    <w:rsid w:val="004D7973"/>
    <w:rsid w:val="004E3729"/>
    <w:rsid w:val="004E62D6"/>
    <w:rsid w:val="004F3A05"/>
    <w:rsid w:val="00512B44"/>
    <w:rsid w:val="00536452"/>
    <w:rsid w:val="005425FB"/>
    <w:rsid w:val="00542C92"/>
    <w:rsid w:val="00561370"/>
    <w:rsid w:val="005834C1"/>
    <w:rsid w:val="0059134A"/>
    <w:rsid w:val="0059233A"/>
    <w:rsid w:val="00592FE4"/>
    <w:rsid w:val="00594486"/>
    <w:rsid w:val="005B275B"/>
    <w:rsid w:val="005B2853"/>
    <w:rsid w:val="005D3350"/>
    <w:rsid w:val="005D50DD"/>
    <w:rsid w:val="005D58AC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37D28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3D04"/>
    <w:rsid w:val="007551D2"/>
    <w:rsid w:val="00755835"/>
    <w:rsid w:val="00761C85"/>
    <w:rsid w:val="00772B0B"/>
    <w:rsid w:val="00776122"/>
    <w:rsid w:val="0078203E"/>
    <w:rsid w:val="00782D3C"/>
    <w:rsid w:val="00784492"/>
    <w:rsid w:val="0078594D"/>
    <w:rsid w:val="007876A0"/>
    <w:rsid w:val="0079098D"/>
    <w:rsid w:val="007B7297"/>
    <w:rsid w:val="007C1C4D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E12E1"/>
    <w:rsid w:val="008F616D"/>
    <w:rsid w:val="009116EE"/>
    <w:rsid w:val="00923318"/>
    <w:rsid w:val="00926613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13DE"/>
    <w:rsid w:val="009650DD"/>
    <w:rsid w:val="00966720"/>
    <w:rsid w:val="009700D2"/>
    <w:rsid w:val="009746A6"/>
    <w:rsid w:val="009A2D96"/>
    <w:rsid w:val="009B1B50"/>
    <w:rsid w:val="009B22CD"/>
    <w:rsid w:val="009C7182"/>
    <w:rsid w:val="009C7298"/>
    <w:rsid w:val="009D3442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57A2B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5769"/>
    <w:rsid w:val="00AA7587"/>
    <w:rsid w:val="00AB6D16"/>
    <w:rsid w:val="00AC038D"/>
    <w:rsid w:val="00AE76EA"/>
    <w:rsid w:val="00AF138B"/>
    <w:rsid w:val="00AF77D6"/>
    <w:rsid w:val="00B230C2"/>
    <w:rsid w:val="00B256DB"/>
    <w:rsid w:val="00B257F1"/>
    <w:rsid w:val="00B35B92"/>
    <w:rsid w:val="00B41A83"/>
    <w:rsid w:val="00B44169"/>
    <w:rsid w:val="00B50FE8"/>
    <w:rsid w:val="00B66445"/>
    <w:rsid w:val="00B87412"/>
    <w:rsid w:val="00BA1757"/>
    <w:rsid w:val="00BB06CD"/>
    <w:rsid w:val="00BB1947"/>
    <w:rsid w:val="00BB4069"/>
    <w:rsid w:val="00BC7553"/>
    <w:rsid w:val="00BE137A"/>
    <w:rsid w:val="00BE54E3"/>
    <w:rsid w:val="00BF36E1"/>
    <w:rsid w:val="00BF48B3"/>
    <w:rsid w:val="00BF5220"/>
    <w:rsid w:val="00BF6DFC"/>
    <w:rsid w:val="00C05AE0"/>
    <w:rsid w:val="00C17068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9557B"/>
    <w:rsid w:val="00CC659D"/>
    <w:rsid w:val="00CC6EFE"/>
    <w:rsid w:val="00CD63F8"/>
    <w:rsid w:val="00CE0A51"/>
    <w:rsid w:val="00CF080F"/>
    <w:rsid w:val="00D010D1"/>
    <w:rsid w:val="00D01475"/>
    <w:rsid w:val="00D20A90"/>
    <w:rsid w:val="00D215FF"/>
    <w:rsid w:val="00D242AC"/>
    <w:rsid w:val="00D25FEC"/>
    <w:rsid w:val="00D2612A"/>
    <w:rsid w:val="00D2632F"/>
    <w:rsid w:val="00D469EC"/>
    <w:rsid w:val="00D55598"/>
    <w:rsid w:val="00D64BA6"/>
    <w:rsid w:val="00D73414"/>
    <w:rsid w:val="00D7650D"/>
    <w:rsid w:val="00D93D3E"/>
    <w:rsid w:val="00DB0AF9"/>
    <w:rsid w:val="00DB6AD1"/>
    <w:rsid w:val="00DC366F"/>
    <w:rsid w:val="00DC3D0C"/>
    <w:rsid w:val="00DC4402"/>
    <w:rsid w:val="00DD0075"/>
    <w:rsid w:val="00DD2E1B"/>
    <w:rsid w:val="00DD5CE7"/>
    <w:rsid w:val="00DD7C49"/>
    <w:rsid w:val="00E033A8"/>
    <w:rsid w:val="00E04067"/>
    <w:rsid w:val="00E07322"/>
    <w:rsid w:val="00E26EA3"/>
    <w:rsid w:val="00E372D2"/>
    <w:rsid w:val="00E40F24"/>
    <w:rsid w:val="00E460F1"/>
    <w:rsid w:val="00E6001F"/>
    <w:rsid w:val="00E6029B"/>
    <w:rsid w:val="00E8429E"/>
    <w:rsid w:val="00E90737"/>
    <w:rsid w:val="00EB7EDE"/>
    <w:rsid w:val="00EC449F"/>
    <w:rsid w:val="00ED54AA"/>
    <w:rsid w:val="00EE52B0"/>
    <w:rsid w:val="00EE64B4"/>
    <w:rsid w:val="00EE7DDF"/>
    <w:rsid w:val="00F33A8F"/>
    <w:rsid w:val="00F40856"/>
    <w:rsid w:val="00F557D4"/>
    <w:rsid w:val="00F6068F"/>
    <w:rsid w:val="00F64CC5"/>
    <w:rsid w:val="00F6671C"/>
    <w:rsid w:val="00F81B07"/>
    <w:rsid w:val="00FA179B"/>
    <w:rsid w:val="00FA1B5D"/>
    <w:rsid w:val="00FA4848"/>
    <w:rsid w:val="00FA7CDE"/>
    <w:rsid w:val="00FC06A4"/>
    <w:rsid w:val="00FC2ED8"/>
    <w:rsid w:val="00FC553C"/>
    <w:rsid w:val="00FE03DC"/>
    <w:rsid w:val="00FE497D"/>
    <w:rsid w:val="00FE5053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uiPriority w:val="22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D58AC"/>
    <w:pPr>
      <w:ind w:left="720"/>
      <w:contextualSpacing/>
    </w:pPr>
  </w:style>
  <w:style w:type="character" w:customStyle="1" w:styleId="s7">
    <w:name w:val="s7"/>
    <w:basedOn w:val="a0"/>
    <w:rsid w:val="0044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7353-F601-4404-90B0-EE63947C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Elen</cp:lastModifiedBy>
  <cp:revision>8</cp:revision>
  <cp:lastPrinted>2022-03-05T14:41:00Z</cp:lastPrinted>
  <dcterms:created xsi:type="dcterms:W3CDTF">2024-09-11T11:52:00Z</dcterms:created>
  <dcterms:modified xsi:type="dcterms:W3CDTF">2024-10-28T13:26:00Z</dcterms:modified>
</cp:coreProperties>
</file>